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after="140" w:line="600" w:lineRule="exact"/>
        <w:ind w:left="0" w:leftChars="0" w:right="0" w:rightChars="0" w:firstLine="0" w:firstLineChars="0"/>
        <w:jc w:val="both"/>
        <w:textAlignment w:val="auto"/>
        <w:outlineLvl w:val="9"/>
        <w:rPr>
          <w:rFonts w:hint="default"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附件</w:t>
      </w:r>
    </w:p>
    <w:p>
      <w:pPr>
        <w:pStyle w:val="3"/>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Times New Roman" w:hAnsi="Times New Roman" w:cs="Times New Roman"/>
          <w:lang w:eastAsia="zh-CN"/>
        </w:rPr>
      </w:pPr>
    </w:p>
    <w:p>
      <w:pPr>
        <w:pStyle w:val="4"/>
        <w:keepNext w:val="0"/>
        <w:keepLines w:val="0"/>
        <w:pageBreakBefore w:val="0"/>
        <w:widowControl w:val="0"/>
        <w:kinsoku/>
        <w:wordWrap/>
        <w:overflowPunct/>
        <w:topLinePunct w:val="0"/>
        <w:autoSpaceDE/>
        <w:autoSpaceDN/>
        <w:bidi w:val="0"/>
        <w:adjustRightIn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i w:val="0"/>
          <w:color w:val="000000"/>
          <w:kern w:val="0"/>
          <w:sz w:val="42"/>
          <w:szCs w:val="42"/>
          <w:u w:val="none"/>
          <w:lang w:val="en-US" w:eastAsia="zh-CN" w:bidi="ar"/>
        </w:rPr>
      </w:pPr>
      <w:bookmarkStart w:id="0" w:name="_GoBack"/>
      <w:r>
        <w:rPr>
          <w:rFonts w:hint="default" w:ascii="Times New Roman" w:hAnsi="Times New Roman" w:eastAsia="方正小标宋简体" w:cs="Times New Roman"/>
          <w:i w:val="0"/>
          <w:color w:val="000000"/>
          <w:kern w:val="0"/>
          <w:sz w:val="42"/>
          <w:szCs w:val="42"/>
          <w:u w:val="none"/>
          <w:lang w:val="en-US" w:eastAsia="zh-CN" w:bidi="ar"/>
        </w:rPr>
        <w:t>包头市推动校地融合发展三年行动方案（2023—2025年）任务清单</w:t>
      </w:r>
    </w:p>
    <w:bookmarkEnd w:id="0"/>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0" w:firstLineChars="0"/>
        <w:textAlignment w:val="auto"/>
        <w:outlineLvl w:val="9"/>
        <w:rPr>
          <w:rFonts w:hint="default" w:ascii="Times New Roman" w:hAnsi="Times New Roman" w:cs="Times New Roman"/>
          <w:lang w:eastAsia="zh-CN"/>
        </w:rPr>
      </w:pPr>
    </w:p>
    <w:tbl>
      <w:tblPr>
        <w:tblStyle w:val="6"/>
        <w:tblW w:w="128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8"/>
        <w:gridCol w:w="3287"/>
        <w:gridCol w:w="4"/>
        <w:gridCol w:w="2726"/>
        <w:gridCol w:w="467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8"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bCs/>
                <w:i w:val="0"/>
                <w:color w:val="000000"/>
                <w:sz w:val="21"/>
                <w:szCs w:val="21"/>
                <w:u w:val="none"/>
              </w:rPr>
            </w:pPr>
            <w:r>
              <w:rPr>
                <w:rFonts w:hint="eastAsia" w:ascii="Times New Roman" w:hAnsi="Times New Roman" w:eastAsia="宋体" w:cs="宋体"/>
                <w:b/>
                <w:bCs/>
                <w:i w:val="0"/>
                <w:color w:val="000000"/>
                <w:kern w:val="0"/>
                <w:sz w:val="21"/>
                <w:szCs w:val="21"/>
                <w:u w:val="none"/>
                <w:lang w:val="en-US" w:eastAsia="zh-CN" w:bidi="ar"/>
              </w:rPr>
              <w:t>序号</w:t>
            </w:r>
          </w:p>
        </w:tc>
        <w:tc>
          <w:tcPr>
            <w:tcW w:w="3287"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bCs/>
                <w:i w:val="0"/>
                <w:color w:val="000000"/>
                <w:sz w:val="21"/>
                <w:szCs w:val="21"/>
                <w:u w:val="none"/>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30"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bCs/>
                <w:i w:val="0"/>
                <w:color w:val="000000"/>
                <w:sz w:val="21"/>
                <w:szCs w:val="21"/>
                <w:u w:val="none"/>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bCs/>
                <w:i w:val="0"/>
                <w:color w:val="000000"/>
                <w:sz w:val="21"/>
                <w:szCs w:val="21"/>
                <w:u w:val="none"/>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bCs/>
                <w:i w:val="0"/>
                <w:color w:val="000000"/>
                <w:sz w:val="21"/>
                <w:szCs w:val="21"/>
                <w:u w:val="none"/>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Style w:val="7"/>
                <w:rFonts w:hint="eastAsia" w:ascii="Times New Roman" w:hAnsi="Times New Roman" w:eastAsia="宋体" w:cs="宋体"/>
                <w:sz w:val="21"/>
                <w:szCs w:val="21"/>
                <w:lang w:val="en-US" w:eastAsia="zh-CN" w:bidi="ar"/>
              </w:rPr>
              <w:t>一、全力推进产教融合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sz w:val="21"/>
                <w:szCs w:val="21"/>
                <w:u w:val="none"/>
              </w:rPr>
            </w:pPr>
            <w:r>
              <w:rPr>
                <w:rFonts w:hint="eastAsia" w:ascii="Times New Roman" w:hAnsi="Times New Roman" w:eastAsia="宋体" w:cs="宋体"/>
                <w:b w:val="0"/>
                <w:bCs/>
                <w:i w:val="0"/>
                <w:color w:val="000000"/>
                <w:kern w:val="0"/>
                <w:sz w:val="21"/>
                <w:szCs w:val="21"/>
                <w:u w:val="none"/>
                <w:lang w:val="en-US" w:eastAsia="zh-CN" w:bidi="ar"/>
              </w:rPr>
              <w:t>（一）优化学科专业设置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57" w:hRule="atLeast"/>
          <w:jc w:val="center"/>
        </w:trPr>
        <w:tc>
          <w:tcPr>
            <w:tcW w:w="728"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1</w:t>
            </w:r>
          </w:p>
        </w:tc>
        <w:tc>
          <w:tcPr>
            <w:tcW w:w="3287"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Style w:val="8"/>
                <w:rFonts w:hint="eastAsia" w:ascii="Times New Roman" w:hAnsi="Times New Roman" w:eastAsia="宋体" w:cs="宋体"/>
                <w:sz w:val="21"/>
                <w:szCs w:val="21"/>
                <w:lang w:val="en-US" w:eastAsia="zh-CN" w:bidi="ar"/>
              </w:rPr>
              <w:t>进一步强化</w:t>
            </w:r>
            <w:r>
              <w:rPr>
                <w:rStyle w:val="9"/>
                <w:rFonts w:hint="eastAsia" w:ascii="Times New Roman" w:hAnsi="Times New Roman" w:cs="宋体"/>
                <w:sz w:val="21"/>
                <w:szCs w:val="21"/>
                <w:lang w:val="en-US" w:eastAsia="zh-CN" w:bidi="ar"/>
              </w:rPr>
              <w:t>“</w:t>
            </w:r>
            <w:r>
              <w:rPr>
                <w:rStyle w:val="8"/>
                <w:rFonts w:hint="eastAsia" w:ascii="Times New Roman" w:hAnsi="Times New Roman" w:eastAsia="宋体" w:cs="宋体"/>
                <w:sz w:val="21"/>
                <w:szCs w:val="21"/>
                <w:lang w:val="en-US" w:eastAsia="zh-CN" w:bidi="ar"/>
              </w:rPr>
              <w:t>地方性</w:t>
            </w:r>
            <w:r>
              <w:rPr>
                <w:rStyle w:val="9"/>
                <w:rFonts w:hint="eastAsia" w:ascii="Times New Roman" w:hAnsi="Times New Roman" w:cs="宋体"/>
                <w:sz w:val="21"/>
                <w:szCs w:val="21"/>
                <w:lang w:val="en-US" w:eastAsia="zh-CN" w:bidi="ar"/>
              </w:rPr>
              <w:t>”“</w:t>
            </w:r>
            <w:r>
              <w:rPr>
                <w:rStyle w:val="8"/>
                <w:rFonts w:hint="eastAsia" w:ascii="Times New Roman" w:hAnsi="Times New Roman" w:eastAsia="宋体" w:cs="宋体"/>
                <w:sz w:val="21"/>
                <w:szCs w:val="21"/>
                <w:lang w:val="en-US" w:eastAsia="zh-CN" w:bidi="ar"/>
              </w:rPr>
              <w:t>应用型</w:t>
            </w:r>
            <w:r>
              <w:rPr>
                <w:rStyle w:val="9"/>
                <w:rFonts w:hint="eastAsia" w:ascii="Times New Roman" w:hAnsi="Times New Roman" w:cs="宋体"/>
                <w:sz w:val="21"/>
                <w:szCs w:val="21"/>
                <w:lang w:val="en-US" w:eastAsia="zh-CN" w:bidi="ar"/>
              </w:rPr>
              <w:t>”</w:t>
            </w:r>
            <w:r>
              <w:rPr>
                <w:rStyle w:val="8"/>
                <w:rFonts w:hint="eastAsia" w:ascii="Times New Roman" w:hAnsi="Times New Roman" w:eastAsia="宋体" w:cs="宋体"/>
                <w:sz w:val="21"/>
                <w:szCs w:val="21"/>
                <w:lang w:val="en-US" w:eastAsia="zh-CN" w:bidi="ar"/>
              </w:rPr>
              <w:t>高校办学理念，围绕我市稀土新材料、硅基材料、风电装备、现代装备制造等产业急需紧缺学科专业，形成一批地方急需、优势突出、特色鲜明的学科专业集群</w:t>
            </w:r>
          </w:p>
        </w:tc>
        <w:tc>
          <w:tcPr>
            <w:tcW w:w="2730"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Style w:val="8"/>
                <w:rFonts w:hint="eastAsia" w:ascii="Times New Roman" w:hAnsi="Times New Roman" w:eastAsia="宋体" w:cs="宋体"/>
                <w:sz w:val="21"/>
                <w:szCs w:val="21"/>
                <w:lang w:val="en-US" w:eastAsia="zh-CN" w:bidi="ar"/>
              </w:rPr>
              <w:t>在包各高校</w:t>
            </w:r>
          </w:p>
        </w:tc>
        <w:tc>
          <w:tcPr>
            <w:tcW w:w="4670"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Style w:val="8"/>
                <w:rFonts w:hint="eastAsia" w:ascii="Times New Roman" w:hAnsi="Times New Roman" w:eastAsia="宋体" w:cs="宋体"/>
                <w:sz w:val="21"/>
                <w:szCs w:val="21"/>
                <w:lang w:val="en-US" w:eastAsia="zh-CN" w:bidi="ar"/>
              </w:rPr>
              <w:t>市发改委、教育局、科技局、工信局</w:t>
            </w:r>
          </w:p>
        </w:tc>
        <w:tc>
          <w:tcPr>
            <w:tcW w:w="1445"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Style w:val="8"/>
                <w:rFonts w:hint="eastAsia" w:ascii="Times New Roman" w:hAnsi="Times New Roman" w:eastAsia="宋体" w:cs="宋体"/>
                <w:sz w:val="21"/>
                <w:szCs w:val="21"/>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9" w:hRule="atLeast"/>
          <w:jc w:val="center"/>
        </w:trPr>
        <w:tc>
          <w:tcPr>
            <w:tcW w:w="728"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2</w:t>
            </w:r>
          </w:p>
        </w:tc>
        <w:tc>
          <w:tcPr>
            <w:tcW w:w="3287"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sz w:val="21"/>
                <w:szCs w:val="21"/>
                <w:u w:val="none"/>
              </w:rPr>
            </w:pPr>
            <w:r>
              <w:rPr>
                <w:rFonts w:hint="eastAsia" w:ascii="Times New Roman" w:hAnsi="Times New Roman" w:eastAsia="宋体" w:cs="宋体"/>
                <w:i w:val="0"/>
                <w:color w:val="000000"/>
                <w:kern w:val="0"/>
                <w:sz w:val="21"/>
                <w:szCs w:val="21"/>
                <w:u w:val="none"/>
                <w:lang w:val="en-US" w:eastAsia="zh-CN" w:bidi="ar"/>
              </w:rPr>
              <w:t>支持在包各高校培育优势学科，推动内蒙古科技大学冶金工程冲击国家一流学科和微专业建设</w:t>
            </w:r>
          </w:p>
        </w:tc>
        <w:tc>
          <w:tcPr>
            <w:tcW w:w="2730"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Style w:val="8"/>
                <w:rFonts w:hint="eastAsia" w:ascii="Times New Roman" w:hAnsi="Times New Roman" w:eastAsia="宋体" w:cs="宋体"/>
                <w:sz w:val="21"/>
                <w:szCs w:val="21"/>
                <w:lang w:val="en-US" w:eastAsia="zh-CN" w:bidi="ar"/>
              </w:rPr>
              <w:t>市教育局</w:t>
            </w:r>
          </w:p>
        </w:tc>
        <w:tc>
          <w:tcPr>
            <w:tcW w:w="4670"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Style w:val="8"/>
                <w:rFonts w:hint="eastAsia" w:ascii="Times New Roman" w:hAnsi="Times New Roman" w:eastAsia="宋体" w:cs="宋体"/>
                <w:sz w:val="21"/>
                <w:szCs w:val="21"/>
                <w:lang w:val="en-US" w:eastAsia="zh-CN" w:bidi="ar"/>
              </w:rPr>
              <w:t>在包各高校</w:t>
            </w:r>
          </w:p>
        </w:tc>
        <w:tc>
          <w:tcPr>
            <w:tcW w:w="1445"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z w:val="21"/>
                <w:szCs w:val="21"/>
                <w:u w:val="none"/>
              </w:rPr>
            </w:pPr>
            <w:r>
              <w:rPr>
                <w:rStyle w:val="8"/>
                <w:rFonts w:hint="eastAsia" w:ascii="Times New Roman" w:hAnsi="Times New Roman" w:eastAsia="宋体" w:cs="宋体"/>
                <w:sz w:val="21"/>
                <w:szCs w:val="21"/>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0" w:hRule="atLeast"/>
          <w:jc w:val="center"/>
        </w:trPr>
        <w:tc>
          <w:tcPr>
            <w:tcW w:w="728"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w:t>
            </w:r>
          </w:p>
        </w:tc>
        <w:tc>
          <w:tcPr>
            <w:tcW w:w="3287"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spacing w:val="-3"/>
                <w:kern w:val="0"/>
                <w:sz w:val="21"/>
                <w:szCs w:val="21"/>
                <w:u w:val="none"/>
                <w:lang w:val="en-US" w:eastAsia="zh-CN" w:bidi="ar"/>
              </w:rPr>
              <w:t>各有关部门定期联合高校开展包头市产业需求侧匹配度调研，建立区域产业人才需求数据平台，定期编制、发布包头产业结构动态调整报告</w:t>
            </w:r>
          </w:p>
        </w:tc>
        <w:tc>
          <w:tcPr>
            <w:tcW w:w="2730"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市发改委、教育局、科技局、工信局、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农牧局、商务局、卫健委</w:t>
            </w:r>
          </w:p>
        </w:tc>
        <w:tc>
          <w:tcPr>
            <w:tcW w:w="1445"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8" w:hRule="atLeast"/>
          <w:jc w:val="center"/>
        </w:trPr>
        <w:tc>
          <w:tcPr>
            <w:tcW w:w="728"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87"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30"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0" w:hRule="atLeast"/>
          <w:jc w:val="center"/>
        </w:trPr>
        <w:tc>
          <w:tcPr>
            <w:tcW w:w="728"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w:t>
            </w:r>
          </w:p>
        </w:tc>
        <w:tc>
          <w:tcPr>
            <w:tcW w:w="3287"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sz w:val="21"/>
                <w:szCs w:val="21"/>
                <w:lang w:val="en-US" w:eastAsia="zh-CN"/>
              </w:rPr>
              <w:t>高校按照产业发展方向和企业用工需求动态调整学科专业设置和招生计划</w:t>
            </w:r>
          </w:p>
        </w:tc>
        <w:tc>
          <w:tcPr>
            <w:tcW w:w="2730"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4670"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w:t>
            </w:r>
          </w:p>
        </w:tc>
        <w:tc>
          <w:tcPr>
            <w:tcW w:w="1445"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Style w:val="8"/>
                <w:rFonts w:hint="eastAsia" w:ascii="Times New Roman" w:hAnsi="Times New Roman" w:eastAsia="宋体" w:cs="宋体"/>
                <w:sz w:val="21"/>
                <w:szCs w:val="21"/>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（二）全面深化校企合作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6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w:t>
            </w:r>
          </w:p>
        </w:tc>
        <w:tc>
          <w:tcPr>
            <w:tcW w:w="3291"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培育融合型特色园区，引导各园区围绕优势产业，建设相关教学保障设施，深化与高校合作，共同推动学科建设、人才培养、企业用工、产业升级、协同创新、成果孵化等方面在园区内无缝对接</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市工信局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市教育局、科技局，在包各高校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6</w:t>
            </w:r>
          </w:p>
        </w:tc>
        <w:tc>
          <w:tcPr>
            <w:tcW w:w="3291"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推动企业与高校共建实习实训基地</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市教育局、工信局，在包各高校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7</w:t>
            </w:r>
          </w:p>
        </w:tc>
        <w:tc>
          <w:tcPr>
            <w:tcW w:w="3291"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推动高校开设委托班、订单班、学徒班、工匠班、卓越工程师班、现场工程师班，并逐年扩大招生人数</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市发改委、市工信局、市商务局、市农牧局，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（三）打造现代产业学院集群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2"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8</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大力支持内蒙古科技大学稀土产业学院申报国家级现代产业学院</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市教育局、工信局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市发改委、财政局，内蒙古科技大学</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9</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支持内蒙古科技大学能源产业学院、应急管理产业学院、数智产业学院、硅业学院和冶金未来技术学院建设，力争2023年实现招生</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财政局、工信局、应急管理局按各自职责分工负责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内蒙古科技大学</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10</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支持包头师范学院中关村智酷大数据产业学院、智能物联产业学院、数字文创现代产业学院、人力资本服务产业学院、新型化工与能源现代产业学院和交叉融合创新实践产业学院建设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市发改委、教育局、工信局、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财政局、商务局按各自职责分工负责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包头师范学院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6"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11</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支持包头医学院建设现代健康产业学院建设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市卫健委</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包头医学院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46"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12</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职业技术学院美科硅能源产业学院、协鑫科技（内蒙古）光伏产业学院、圣纳新能源汽车产业学院、中汽数据汽车技术产业学院、中科佳兴康养产业学院、阿里巴巴境外电商产业学院、北创智能焊接产业学院、一机装甲车辆智能制造产业学院、内蒙古通航航空产业学院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工信局、财政局、商务局按各自职责分工负责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13</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支持包头轻工职业技术学院食品乳品智能加工产业学院、智能制造产业学院、</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两都</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建设研究中心和数字经济产业区建设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工信局、农牧局、商务局按各自职责分工负责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包头轻工职业技术学院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14</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支持包头铁道职业技术学院晶澳智能制造产业学院、绘宇测绘产业学院建设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工信局按各自职责分工负责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包头铁道职业技术学院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15</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支持包头钢铁职业技术学院鹿城稀土产业学院、稀冶工匠学院和稀土高技能人才综合培养创新港建设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市教育局、工信局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包头钢铁职业技术学院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（四）建立健全合作育人新模式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16</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各行业主管部门要切实发挥协调沟通作用，在高校、企业间搭建对接平台，积极推动行业企业参与高校各类产业学院建设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市委军民融合办，市发改委、教育局、科技局、工信局、财政局、农牧局、商务局、卫健委按各自职责分工负责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17</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建立校企合作育人机制，为产业学院学生到企业参与实践、顶岗实习提供必要保障条件</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市人社局，在包各高校</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市委军民融合办，市发改委、教育局、科技局、工信局、财政局、农牧局、商务局、卫健委</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18</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组建高校产创联盟，实现重点产业与应用型本科院校、职业院校精准对接，构建创新产教融合人才培养模式</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市发改委、教育局、工信局</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19</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推动内蒙古科技大学</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国家网络安全教育技术产业融合发展试验区</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市委网信办</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内蒙古科技大学</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2"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支持包头师范学院数字人才培养基地、数字化电商直播人才培养基地和包头市铸牢中华民族共同体意识研究中心建设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市教育局、工信局、商务局按各自职责分工负责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包头师范学院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1"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21</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支持包头职业技术学院与我市兵工、光伏龙头企业共建</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包头市现代装备制造产教联合体</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和国防工业军民两用技术技能人才培养培训基地以及包头市光伏能源产教联盟建设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市委军民融合办，市教育局、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工信局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22</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支持包头钢铁职业技术学院内蒙古绿色稀土职教集团建设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市教育局、工信局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包头钢铁职业技术学院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二、全力推进科创融合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（五）主动融入创新驱动发展战略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23</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充分发挥高校创新驱动发展战略基地作用，加大对高校研发的投入力度和支持力度，引领我市产业创新驱动发展，围绕我市产业链部署创新链，建立起跨部门、跨院校、跨区域、跨学科以及企业社会共同参与的网络型、对链式、无缝隙合作机制</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市发改委、教育局、科技局、工信局</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（六）积极参与行业重点科研机构建设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24</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进一步强化创新发展支撑，鼓励支持内蒙古科技大学积极参与</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白云鄂博稀土资源研究与综合利用全国重点实验室</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建设，进一步加强技术和人才合作</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市科技局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内蒙古科技大学</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6"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25</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支持内蒙古科技大学与军工企业进行火工试验与防护和辐射环境联合实验室基地建设，积极争取申报成为</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局省共建高校</w:t>
            </w:r>
            <w:r>
              <w:rPr>
                <w:rFonts w:hint="eastAsia" w:ascii="Times New Roman" w:hAnsi="Times New Roman" w:cs="宋体"/>
                <w:i w:val="0"/>
                <w:color w:val="000000"/>
                <w:kern w:val="0"/>
                <w:sz w:val="21"/>
                <w:szCs w:val="21"/>
                <w:u w:val="none"/>
                <w:lang w:val="en-US" w:eastAsia="zh-CN" w:bidi="ar"/>
              </w:rPr>
              <w:t>”</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市委军民融合办</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市科技局、工信局，内蒙古科技大学</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49"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26</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支持包头师范学院黄河流域生态保护和高质量发展研究院、</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一带一路</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创新创业研究中心和磁学与磁性材料自治区重点实验室建设，支持黄河湿地动植物保护与资源利用实验室申报自治区重点实验室</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市教育局、科技局、工信局、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农牧局、林草局按各自职责分工负责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包头师范学院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27</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支持包头医学院国际医院和区域医疗中心、人畜共患病与转化医学协同创新中心、生命与健康科学馆、中草药产学研协同基地、高水平公共卫生学院和包头市公共卫生与预防医学协同创新中心建设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市卫健委、农牧局按各自职责分工负责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包头医学院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3"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28</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w:t>
            </w:r>
            <w:r>
              <w:rPr>
                <w:rFonts w:hint="eastAsia" w:ascii="Times New Roman" w:hAnsi="Times New Roman" w:eastAsia="宋体" w:cs="宋体"/>
                <w:i w:val="0"/>
                <w:color w:val="000000"/>
                <w:spacing w:val="-7"/>
                <w:kern w:val="0"/>
                <w:sz w:val="21"/>
                <w:szCs w:val="21"/>
                <w:u w:val="none"/>
                <w:lang w:val="en-US" w:eastAsia="zh-CN" w:bidi="ar"/>
              </w:rPr>
              <w:t>持包头职业技术学院与中南大学、长春理工大学共建铝合金和信息技术产学研用创新中心，与我市兵工企业共建</w:t>
            </w:r>
            <w:r>
              <w:rPr>
                <w:rFonts w:hint="eastAsia" w:ascii="Times New Roman" w:hAnsi="Times New Roman" w:cs="宋体"/>
                <w:i w:val="0"/>
                <w:color w:val="000000"/>
                <w:spacing w:val="-7"/>
                <w:kern w:val="0"/>
                <w:sz w:val="21"/>
                <w:szCs w:val="21"/>
                <w:u w:val="none"/>
                <w:lang w:val="en-US" w:eastAsia="zh-CN" w:bidi="ar"/>
              </w:rPr>
              <w:t>“</w:t>
            </w:r>
            <w:r>
              <w:rPr>
                <w:rFonts w:hint="eastAsia" w:ascii="Times New Roman" w:hAnsi="Times New Roman" w:eastAsia="宋体" w:cs="宋体"/>
                <w:i w:val="0"/>
                <w:color w:val="000000"/>
                <w:spacing w:val="-7"/>
                <w:kern w:val="0"/>
                <w:sz w:val="21"/>
                <w:szCs w:val="21"/>
                <w:u w:val="none"/>
                <w:lang w:val="en-US" w:eastAsia="zh-CN" w:bidi="ar"/>
              </w:rPr>
              <w:t>智能制造、智能运维、智慧农机</w:t>
            </w:r>
            <w:r>
              <w:rPr>
                <w:rFonts w:hint="eastAsia" w:ascii="Times New Roman" w:hAnsi="Times New Roman" w:cs="宋体"/>
                <w:i w:val="0"/>
                <w:color w:val="000000"/>
                <w:spacing w:val="-7"/>
                <w:kern w:val="0"/>
                <w:sz w:val="21"/>
                <w:szCs w:val="21"/>
                <w:u w:val="none"/>
                <w:lang w:val="en-US" w:eastAsia="zh-CN" w:bidi="ar"/>
              </w:rPr>
              <w:t>”</w:t>
            </w:r>
            <w:r>
              <w:rPr>
                <w:rFonts w:hint="eastAsia" w:ascii="Times New Roman" w:hAnsi="Times New Roman" w:eastAsia="宋体" w:cs="宋体"/>
                <w:i w:val="0"/>
                <w:color w:val="000000"/>
                <w:spacing w:val="-7"/>
                <w:kern w:val="0"/>
                <w:sz w:val="21"/>
                <w:szCs w:val="21"/>
                <w:u w:val="none"/>
                <w:lang w:val="en-US" w:eastAsia="zh-CN" w:bidi="ar"/>
              </w:rPr>
              <w:t>技术协同创新中心，以及内蒙古北斗应用技术研究院和</w:t>
            </w:r>
            <w:r>
              <w:rPr>
                <w:rFonts w:hint="eastAsia" w:ascii="Times New Roman" w:hAnsi="Times New Roman" w:cs="宋体"/>
                <w:i w:val="0"/>
                <w:color w:val="000000"/>
                <w:spacing w:val="-7"/>
                <w:kern w:val="0"/>
                <w:sz w:val="21"/>
                <w:szCs w:val="21"/>
                <w:u w:val="none"/>
                <w:lang w:val="en-US" w:eastAsia="zh-CN" w:bidi="ar"/>
              </w:rPr>
              <w:t>“</w:t>
            </w:r>
            <w:r>
              <w:rPr>
                <w:rFonts w:hint="eastAsia" w:ascii="Times New Roman" w:hAnsi="Times New Roman" w:eastAsia="宋体" w:cs="宋体"/>
                <w:i w:val="0"/>
                <w:color w:val="000000"/>
                <w:spacing w:val="-7"/>
                <w:kern w:val="0"/>
                <w:sz w:val="21"/>
                <w:szCs w:val="21"/>
                <w:u w:val="none"/>
                <w:lang w:val="en-US" w:eastAsia="zh-CN" w:bidi="ar"/>
              </w:rPr>
              <w:t>一带一路</w:t>
            </w:r>
            <w:r>
              <w:rPr>
                <w:rFonts w:hint="eastAsia" w:ascii="Times New Roman" w:hAnsi="Times New Roman" w:cs="宋体"/>
                <w:i w:val="0"/>
                <w:color w:val="000000"/>
                <w:spacing w:val="-7"/>
                <w:kern w:val="0"/>
                <w:sz w:val="21"/>
                <w:szCs w:val="21"/>
                <w:u w:val="none"/>
                <w:lang w:val="en-US" w:eastAsia="zh-CN" w:bidi="ar"/>
              </w:rPr>
              <w:t>”</w:t>
            </w:r>
            <w:r>
              <w:rPr>
                <w:rFonts w:hint="eastAsia" w:ascii="Times New Roman" w:hAnsi="Times New Roman" w:eastAsia="宋体" w:cs="宋体"/>
                <w:i w:val="0"/>
                <w:color w:val="000000"/>
                <w:spacing w:val="-7"/>
                <w:kern w:val="0"/>
                <w:sz w:val="21"/>
                <w:szCs w:val="21"/>
                <w:u w:val="none"/>
                <w:lang w:val="en-US" w:eastAsia="zh-CN" w:bidi="ar"/>
              </w:rPr>
              <w:t>现代服务国际研究中心建设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市委军民融合办，市科技局、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工信局按各自职责分工负责</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29</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支持包头铁道职业技术学院与中关村丰台园科技园共建</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轨道交通+5G</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产学研协同创新中心</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市科技局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包头铁道职业技术学院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30</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支持包头钢铁职业技术学院自治区级冶金、稀土绿色智能制造虚拟仿真实训基地建设</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市工信局、科技局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包头钢铁职业技术学院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2"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2"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31</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支持各高校参与国家稀土功能材料创新中心、国家稀土新材料技术创新中心以及特种车辆设计制造集成技术全国重点实验室等适应包头产业发展的应用型平台创建工作</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市工信局、科技局、教育局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（七）合作共建科研基地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6"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32</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推动高校开展人才联合培养、技术协同攻关，大力引导学校高层次人才深入我市有关企业一线，共建科研基地</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市科技局、人社局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市教育局、工信局，在包各高校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33</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推动高校与企业共建院士专家工作站、博士后工作（流动）站、博士、硕士工作站</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市人社局、科技局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5"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34</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支持包头职业技术学院与中国邮电大学、中国联合网络通讯有限公司共建</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北斗+5G</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融合通信院士工作站，与中国地质科学院矿产资源研究所共建</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3S技术</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（遥感技术、地理信息系统和全球定位系统）院士工作站</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市科技局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市教育局，包头职业技术学院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3"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35</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支持各高校在包钢集团、中铝集团等包头市重点企业设立博士工作站；在通威集团、双良硅材料、大全新能源、新特能源等新能源企业设立硕士联合培养基地</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3"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（八）推进科研成果转化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3"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36</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围</w:t>
            </w:r>
            <w:r>
              <w:rPr>
                <w:rFonts w:hint="eastAsia" w:ascii="Times New Roman" w:hAnsi="Times New Roman" w:eastAsia="宋体" w:cs="宋体"/>
                <w:i w:val="0"/>
                <w:color w:val="000000"/>
                <w:spacing w:val="-6"/>
                <w:kern w:val="0"/>
                <w:sz w:val="21"/>
                <w:szCs w:val="21"/>
                <w:u w:val="none"/>
                <w:lang w:val="en-US" w:eastAsia="zh-CN" w:bidi="ar"/>
              </w:rPr>
              <w:t>绕产业、企业发展需求，支持高校与企业共建联合实验室等创新联合体、中试基地，合作培养人才，共享科研设备，加强校企联合开展重大、关键、核心技术攻关和成果转化</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市科技局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市发改委、工信局、财政局、人社局，在包各高校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37</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spacing w:val="-5"/>
                <w:kern w:val="0"/>
                <w:sz w:val="21"/>
                <w:szCs w:val="21"/>
                <w:u w:val="none"/>
                <w:lang w:val="en-US" w:eastAsia="zh-CN" w:bidi="ar"/>
              </w:rPr>
              <w:t>吸纳、转化国内知名高校和科研院所的优质研发资源，推动孵化科技企业</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市发改委、科技局、工信局</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2"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38</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完善科技成果转移转化服务体系，鼓励在包各高校紧紧围绕科技成果转移转化，积极建设技术转移中心，促进高校成果在包转移转化</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市教育局、科技局、工信局、财政局、人社局</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9"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39</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充分发挥内蒙古科技大学技术转移人才培养基地作用，组织开展技术经纪人（经理人）培训，培养技术转移专业人才</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市人社局，内蒙古科技大学</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市教育局、科技局，在包各高校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40</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鼓励在包各高校开展技术转让、许可和科技成果转化相关的技术开发、技术咨询、技术服务等活动，经签订技术合同并办理认定登记后，推荐争取自治区技术交易后补助支持</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市科技局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市教育局、财政局，在包各高校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三、全力推进人才融合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（九）强化人才支撑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b/>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89"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41</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强化高校人才引进，围绕全市重点产业，采取</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带土移植</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候鸟式</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飞地式</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等多种聘任方式加快引进紧缺急需的高层次产业科技领军人才和高技能人才，加大人才引育政策和经费支持，加快引进培育高等教育学科带头人和学术骨干</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市委人才办</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市教育局、科技局、人社局、财政局，在包各高校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42</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建立引进人才定期回访、绩效评估和引进人才后续管理服务长效机制</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市委人才办</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市人社局、教育局，在包各高校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5"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43</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借助包头市科研院所和已引进院士、高端人才及创新团队的影响力，采用</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名誉教授</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兼职教授</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客座教授</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等形式，邀请高端人才到高校兼职、咨询、讲学、研发，吸引和集聚更多的优质人才</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市委人才办</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市教育局、科技局、人社局，在包各高校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9"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44</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推动实施由内蒙古科技大学牵头的</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科炬人才计划</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，搭建</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科炬学者</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包头论坛平台</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市科技局，内蒙古科技大学</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市教育局、人社局，在包各高校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（十）构建联合培养体系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45</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实施</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双百联动</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计划，推动百名高校教师驻企业、百名企业专家进校园，积极探索高校与有关部门、科研院所、行业企业协同育人模式</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市人社局，在包各高校</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市发改委、教育局、科技局、工信局</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46</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深化现代职业教育体系建设，推进</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中、高、本</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一体化技术技能人才培养</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47</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cs="宋体"/>
                <w:i w:val="0"/>
                <w:color w:val="000000"/>
                <w:kern w:val="0"/>
                <w:sz w:val="21"/>
                <w:szCs w:val="21"/>
                <w:u w:val="none"/>
                <w:lang w:val="en-US" w:eastAsia="zh-CN" w:bidi="ar"/>
              </w:rPr>
              <w:t>推</w:t>
            </w:r>
            <w:r>
              <w:rPr>
                <w:rFonts w:hint="eastAsia" w:ascii="Times New Roman" w:hAnsi="Times New Roman" w:eastAsia="宋体" w:cs="宋体"/>
                <w:i w:val="0"/>
                <w:color w:val="000000"/>
                <w:kern w:val="0"/>
                <w:sz w:val="21"/>
                <w:szCs w:val="21"/>
                <w:u w:val="none"/>
                <w:lang w:val="en-US" w:eastAsia="zh-CN" w:bidi="ar"/>
              </w:rPr>
              <w:t>进基础教育教师继续培训教育基地建设，提升全市基础学科教师教育教学能力</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包头师范学院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48</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不断完善</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双师型</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教师培养、认定和管理办法，建设一批示范性</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双师型</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教师培训基地</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6"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49</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spacing w:val="7"/>
                <w:kern w:val="0"/>
                <w:sz w:val="21"/>
                <w:szCs w:val="21"/>
                <w:u w:val="none"/>
                <w:lang w:val="en-US" w:eastAsia="zh-CN" w:bidi="ar"/>
              </w:rPr>
              <w:t>支持教师定期到企业实践锻炼和参与各类技术服务和社会服务，将工作情况作为教师绩效工资考核分配的考虑项目，不断提升教师待遇，提高教师积极性。支持学校从企业灵活引进专业人才从事教学科研工作</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市发改委、教育局、工信局、财政局，在包各高校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（十一）健全人才留用机制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0"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50</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完善人才激励机制，按照有关规定在科研平台建设、职称评定、岗位聘任和职务晋升等方面对高校人才予以倾斜，适时对作出突出贡献的科研人才和技能人才进行评选表彰，在医疗保健、住房保障、子女上学等方面给予优惠待遇</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市发改委、工信局、科技局、财政局、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住建局、卫健委，在包各高校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51</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加快建设大学生创业孵化基地和众创空间，加大对各类服务、孵化和实训平台的政策和资金扶持力度</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市教育局、财政局，在包各高校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52</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健全完善支持高校毕业生创业就业的政策，吸引高校毕业生留包创业就业</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市教育局、财政局，在包各高校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7"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8"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53</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支持内蒙古科技大学国家级创新创业实践教育基地建设，支持包头师范学院大学生创业园申报国家级创业示范基地，建设成为全区首家创新创业大学</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市教育局，内蒙古科技大学、包头师范学院</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2024年年底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（十二）打造包头版</w:t>
            </w:r>
            <w:r>
              <w:rPr>
                <w:rFonts w:hint="eastAsia" w:ascii="Times New Roman" w:hAnsi="Times New Roman" w:cs="宋体"/>
                <w:b w:val="0"/>
                <w:bCs/>
                <w:i w:val="0"/>
                <w:color w:val="000000"/>
                <w:kern w:val="0"/>
                <w:sz w:val="21"/>
                <w:szCs w:val="21"/>
                <w:u w:val="none"/>
                <w:lang w:val="en-US" w:eastAsia="zh-CN" w:bidi="ar"/>
              </w:rPr>
              <w:t>“</w:t>
            </w:r>
            <w:r>
              <w:rPr>
                <w:rFonts w:hint="eastAsia" w:ascii="Times New Roman" w:hAnsi="Times New Roman" w:eastAsia="宋体" w:cs="宋体"/>
                <w:b w:val="0"/>
                <w:bCs/>
                <w:i w:val="0"/>
                <w:color w:val="000000"/>
                <w:kern w:val="0"/>
                <w:sz w:val="21"/>
                <w:szCs w:val="21"/>
                <w:u w:val="none"/>
                <w:lang w:val="en-US" w:eastAsia="zh-CN" w:bidi="ar"/>
              </w:rPr>
              <w:t>24365</w:t>
            </w:r>
            <w:r>
              <w:rPr>
                <w:rFonts w:hint="eastAsia" w:ascii="Times New Roman" w:hAnsi="Times New Roman" w:cs="宋体"/>
                <w:b w:val="0"/>
                <w:bCs/>
                <w:i w:val="0"/>
                <w:color w:val="000000"/>
                <w:kern w:val="0"/>
                <w:sz w:val="21"/>
                <w:szCs w:val="21"/>
                <w:u w:val="none"/>
                <w:lang w:val="en-US" w:eastAsia="zh-CN" w:bidi="ar"/>
              </w:rPr>
              <w:t>”</w:t>
            </w:r>
            <w:r>
              <w:rPr>
                <w:rFonts w:hint="eastAsia" w:ascii="Times New Roman" w:hAnsi="Times New Roman" w:eastAsia="宋体" w:cs="宋体"/>
                <w:b w:val="0"/>
                <w:bCs/>
                <w:i w:val="0"/>
                <w:color w:val="000000"/>
                <w:kern w:val="0"/>
                <w:sz w:val="21"/>
                <w:szCs w:val="21"/>
                <w:u w:val="none"/>
                <w:lang w:val="en-US" w:eastAsia="zh-CN" w:bidi="ar"/>
              </w:rPr>
              <w:t>毕业生招聘服务模式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1"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54</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在包各类企业到高校招聘不受岗位数量限制、不受企业规模限制、不受时间限制，提供</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24365</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（24小时、365天）全天候、无死角招聘服务</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2023年6月底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2"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55</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推广由内蒙古科技大学牵头的</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在包高校联合招聘</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模式，在包各高校每年至少组织5次高校联盟大中型招聘会，积极吸纳区内其他高校广泛参与，争取每年吸引万名以上毕业生留包就业创业</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市人社局，内蒙古科技大学</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2023年年底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四、全力推进社会化融合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（十三）推动高校智库建设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56</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依托高校学科、科研和人才资源优势，培育和组建区域发展战略研究中心、行业产业发展政策咨询机构等专业化的高校智库</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市发改委、教育局、科技局、财政局</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57</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充分发挥内蒙古科技大学</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市域社会治理与发展研究院</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作用，鼓励各高校积极参与地方治理体系和治理能力现代化建设，在我市经济社会发展及战略研究方面为政府提供持续性、高水平的决策咨询和决策参考，为优化产业布局、企业转型升级提供专业的指导和方案设计</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市发展研究中心，</w:t>
            </w:r>
          </w:p>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 xml:space="preserve">      内蒙古科技大学</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市发改委、教育局、科技局、工信局、财政局，</w:t>
            </w:r>
          </w:p>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4"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58</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spacing w:val="6"/>
                <w:kern w:val="0"/>
                <w:sz w:val="21"/>
                <w:szCs w:val="21"/>
                <w:u w:val="none"/>
                <w:lang w:val="en-US" w:eastAsia="zh-CN" w:bidi="ar"/>
              </w:rPr>
              <w:t>支持高校学者、教授开展专题调研、课题研究，形成对政府决策有参考价值的调研报告，推出一批对我市改革发展有实际应用价值的研究成果</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市发展研究中心</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市发改委、教育局、科技局、工信局，在包各高校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（十四）推动</w:t>
            </w:r>
            <w:r>
              <w:rPr>
                <w:rFonts w:hint="eastAsia" w:ascii="Times New Roman" w:hAnsi="Times New Roman" w:cs="宋体"/>
                <w:b w:val="0"/>
                <w:bCs/>
                <w:i w:val="0"/>
                <w:color w:val="000000"/>
                <w:kern w:val="0"/>
                <w:sz w:val="21"/>
                <w:szCs w:val="21"/>
                <w:u w:val="none"/>
                <w:lang w:val="en-US" w:eastAsia="zh-CN" w:bidi="ar"/>
              </w:rPr>
              <w:t>“</w:t>
            </w:r>
            <w:r>
              <w:rPr>
                <w:rFonts w:hint="eastAsia" w:ascii="Times New Roman" w:hAnsi="Times New Roman" w:eastAsia="宋体" w:cs="宋体"/>
                <w:b w:val="0"/>
                <w:bCs/>
                <w:i w:val="0"/>
                <w:color w:val="000000"/>
                <w:kern w:val="0"/>
                <w:sz w:val="21"/>
                <w:szCs w:val="21"/>
                <w:u w:val="none"/>
                <w:lang w:val="en-US" w:eastAsia="zh-CN" w:bidi="ar"/>
              </w:rPr>
              <w:t>包头科创港</w:t>
            </w:r>
            <w:r>
              <w:rPr>
                <w:rFonts w:hint="eastAsia" w:ascii="Times New Roman" w:hAnsi="Times New Roman" w:cs="宋体"/>
                <w:b w:val="0"/>
                <w:bCs/>
                <w:i w:val="0"/>
                <w:color w:val="000000"/>
                <w:kern w:val="0"/>
                <w:sz w:val="21"/>
                <w:szCs w:val="21"/>
                <w:u w:val="none"/>
                <w:lang w:val="en-US" w:eastAsia="zh-CN" w:bidi="ar"/>
              </w:rPr>
              <w:t>”</w:t>
            </w:r>
            <w:r>
              <w:rPr>
                <w:rFonts w:hint="eastAsia" w:ascii="Times New Roman" w:hAnsi="Times New Roman" w:eastAsia="宋体" w:cs="宋体"/>
                <w:b w:val="0"/>
                <w:bCs/>
                <w:i w:val="0"/>
                <w:color w:val="000000"/>
                <w:kern w:val="0"/>
                <w:sz w:val="21"/>
                <w:szCs w:val="21"/>
                <w:u w:val="none"/>
                <w:lang w:val="en-US" w:eastAsia="zh-CN" w:bidi="ar"/>
              </w:rPr>
              <w:t>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9"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59</w:t>
            </w:r>
          </w:p>
        </w:tc>
        <w:tc>
          <w:tcPr>
            <w:tcW w:w="3291" w:type="dxa"/>
            <w:gridSpan w:val="2"/>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推动建设以市政府为主导，内蒙古科技大学牵头并为入驻主体，其他各高校和包钢集团等企业协同的</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包头科创港</w:t>
            </w:r>
            <w:r>
              <w:rPr>
                <w:rFonts w:hint="eastAsia" w:ascii="Times New Roman" w:hAnsi="Times New Roman" w:cs="宋体"/>
                <w:i w:val="0"/>
                <w:color w:val="000000"/>
                <w:kern w:val="0"/>
                <w:sz w:val="21"/>
                <w:szCs w:val="21"/>
                <w:u w:val="none"/>
                <w:lang w:val="en-US" w:eastAsia="zh-CN" w:bidi="ar"/>
              </w:rPr>
              <w:t>”</w:t>
            </w:r>
            <w:r>
              <w:rPr>
                <w:rFonts w:hint="eastAsia" w:ascii="Times New Roman" w:hAnsi="Times New Roman" w:eastAsia="宋体" w:cs="宋体"/>
                <w:i w:val="0"/>
                <w:color w:val="000000"/>
                <w:kern w:val="0"/>
                <w:sz w:val="21"/>
                <w:szCs w:val="21"/>
                <w:u w:val="none"/>
                <w:lang w:val="en-US" w:eastAsia="zh-CN" w:bidi="ar"/>
              </w:rPr>
              <w:t>，打造园区、校区、社区融通，形成产城、产教、产产深度融合</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市自然资源局、财政局，</w:t>
            </w:r>
            <w:r>
              <w:rPr>
                <w:rFonts w:hint="eastAsia" w:ascii="Times New Roman" w:hAnsi="Times New Roman" w:eastAsia="宋体" w:cs="宋体"/>
                <w:i w:val="0"/>
                <w:color w:val="000000"/>
                <w:kern w:val="0"/>
                <w:sz w:val="21"/>
                <w:szCs w:val="21"/>
                <w:u w:val="none"/>
                <w:lang w:val="en-US" w:eastAsia="zh-CN" w:bidi="ar"/>
              </w:rPr>
              <w:br w:type="textWrapping"/>
            </w:r>
            <w:r>
              <w:rPr>
                <w:rFonts w:hint="eastAsia" w:ascii="Times New Roman" w:hAnsi="Times New Roman" w:eastAsia="宋体" w:cs="宋体"/>
                <w:i w:val="0"/>
                <w:color w:val="000000"/>
                <w:kern w:val="0"/>
                <w:sz w:val="21"/>
                <w:szCs w:val="21"/>
                <w:u w:val="none"/>
                <w:lang w:val="en-US" w:eastAsia="zh-CN" w:bidi="ar"/>
              </w:rPr>
              <w:t>内蒙古科技大学</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市发改委、教育局、科技局，在包各高校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2025年年底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8" w:hRule="atLeast"/>
          <w:jc w:val="center"/>
        </w:trPr>
        <w:tc>
          <w:tcPr>
            <w:tcW w:w="12860" w:type="dxa"/>
            <w:gridSpan w:val="6"/>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val="0"/>
                <w:bCs/>
                <w:i w:val="0"/>
                <w:color w:val="000000"/>
                <w:kern w:val="0"/>
                <w:sz w:val="21"/>
                <w:szCs w:val="21"/>
                <w:u w:val="none"/>
                <w:lang w:val="en-US" w:eastAsia="zh-CN" w:bidi="ar"/>
              </w:rPr>
              <w:t>（十五）营造文化共融氛围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5" w:hRule="atLeast"/>
          <w:jc w:val="center"/>
        </w:trPr>
        <w:tc>
          <w:tcPr>
            <w:tcW w:w="728"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60</w:t>
            </w:r>
          </w:p>
        </w:tc>
        <w:tc>
          <w:tcPr>
            <w:tcW w:w="3291" w:type="dxa"/>
            <w:gridSpan w:val="2"/>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spacing w:val="-5"/>
                <w:kern w:val="0"/>
                <w:sz w:val="21"/>
                <w:szCs w:val="21"/>
                <w:u w:val="none"/>
                <w:lang w:val="en-US" w:eastAsia="zh-CN" w:bidi="ar"/>
              </w:rPr>
              <w:t>依托</w:t>
            </w:r>
            <w:r>
              <w:rPr>
                <w:rFonts w:hint="eastAsia" w:ascii="Times New Roman" w:hAnsi="Times New Roman" w:cs="宋体"/>
                <w:i w:val="0"/>
                <w:color w:val="000000"/>
                <w:spacing w:val="-5"/>
                <w:kern w:val="0"/>
                <w:sz w:val="21"/>
                <w:szCs w:val="21"/>
                <w:u w:val="none"/>
                <w:lang w:val="en-US" w:eastAsia="zh-CN" w:bidi="ar"/>
              </w:rPr>
              <w:t>“</w:t>
            </w:r>
            <w:r>
              <w:rPr>
                <w:rFonts w:hint="eastAsia" w:ascii="Times New Roman" w:hAnsi="Times New Roman" w:eastAsia="宋体" w:cs="宋体"/>
                <w:i w:val="0"/>
                <w:color w:val="000000"/>
                <w:spacing w:val="-5"/>
                <w:kern w:val="0"/>
                <w:sz w:val="21"/>
                <w:szCs w:val="21"/>
                <w:u w:val="none"/>
                <w:lang w:val="en-US" w:eastAsia="zh-CN" w:bidi="ar"/>
              </w:rPr>
              <w:t>爱包头、作贡献</w:t>
            </w:r>
            <w:r>
              <w:rPr>
                <w:rFonts w:hint="eastAsia" w:ascii="Times New Roman" w:hAnsi="Times New Roman" w:cs="宋体"/>
                <w:i w:val="0"/>
                <w:color w:val="000000"/>
                <w:spacing w:val="-5"/>
                <w:kern w:val="0"/>
                <w:sz w:val="21"/>
                <w:szCs w:val="21"/>
                <w:u w:val="none"/>
                <w:lang w:val="en-US" w:eastAsia="zh-CN" w:bidi="ar"/>
              </w:rPr>
              <w:t>”</w:t>
            </w:r>
            <w:r>
              <w:rPr>
                <w:rFonts w:hint="eastAsia" w:ascii="Times New Roman" w:hAnsi="Times New Roman" w:eastAsia="宋体" w:cs="宋体"/>
                <w:i w:val="0"/>
                <w:color w:val="000000"/>
                <w:spacing w:val="-5"/>
                <w:kern w:val="0"/>
                <w:sz w:val="21"/>
                <w:szCs w:val="21"/>
                <w:u w:val="none"/>
                <w:lang w:val="en-US" w:eastAsia="zh-CN" w:bidi="ar"/>
              </w:rPr>
              <w:t>主题实践活动良好氛围，鼓励在包各高校在节假日期间，组织开展</w:t>
            </w:r>
            <w:r>
              <w:rPr>
                <w:rFonts w:hint="eastAsia" w:ascii="Times New Roman" w:hAnsi="Times New Roman" w:cs="宋体"/>
                <w:i w:val="0"/>
                <w:color w:val="000000"/>
                <w:spacing w:val="-5"/>
                <w:kern w:val="0"/>
                <w:sz w:val="21"/>
                <w:szCs w:val="21"/>
                <w:u w:val="none"/>
                <w:lang w:val="en-US" w:eastAsia="zh-CN" w:bidi="ar"/>
              </w:rPr>
              <w:t>“</w:t>
            </w:r>
            <w:r>
              <w:rPr>
                <w:rFonts w:hint="eastAsia" w:ascii="Times New Roman" w:hAnsi="Times New Roman" w:eastAsia="宋体" w:cs="宋体"/>
                <w:i w:val="0"/>
                <w:color w:val="000000"/>
                <w:spacing w:val="-5"/>
                <w:kern w:val="0"/>
                <w:sz w:val="21"/>
                <w:szCs w:val="21"/>
                <w:u w:val="none"/>
                <w:lang w:val="en-US" w:eastAsia="zh-CN" w:bidi="ar"/>
              </w:rPr>
              <w:t>校园开放日</w:t>
            </w:r>
            <w:r>
              <w:rPr>
                <w:rFonts w:hint="eastAsia" w:ascii="Times New Roman" w:hAnsi="Times New Roman" w:cs="宋体"/>
                <w:i w:val="0"/>
                <w:color w:val="000000"/>
                <w:spacing w:val="-5"/>
                <w:kern w:val="0"/>
                <w:sz w:val="21"/>
                <w:szCs w:val="21"/>
                <w:u w:val="none"/>
                <w:lang w:val="en-US" w:eastAsia="zh-CN" w:bidi="ar"/>
              </w:rPr>
              <w:t>”</w:t>
            </w:r>
            <w:r>
              <w:rPr>
                <w:rFonts w:hint="eastAsia" w:ascii="Times New Roman" w:hAnsi="Times New Roman" w:eastAsia="宋体" w:cs="宋体"/>
                <w:i w:val="0"/>
                <w:color w:val="000000"/>
                <w:spacing w:val="-5"/>
                <w:kern w:val="0"/>
                <w:sz w:val="21"/>
                <w:szCs w:val="21"/>
                <w:u w:val="none"/>
                <w:lang w:val="en-US" w:eastAsia="zh-CN" w:bidi="ar"/>
              </w:rPr>
              <w:t>相关活动，面向市民开放图书馆、校史馆、展览馆等区域，让市民感受浓厚校园文化底蕴，营造良好氛围</w:t>
            </w:r>
          </w:p>
        </w:tc>
        <w:tc>
          <w:tcPr>
            <w:tcW w:w="2726"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w:t>
            </w:r>
          </w:p>
        </w:tc>
        <w:tc>
          <w:tcPr>
            <w:tcW w:w="4670"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144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bl>
    <w:p>
      <w:pPr>
        <w:rPr>
          <w:rFonts w:ascii="Times New Roman" w:hAnsi="Times New Roman"/>
        </w:rPr>
      </w:pPr>
    </w:p>
    <w:tbl>
      <w:tblPr>
        <w:tblStyle w:val="6"/>
        <w:tblpPr w:leftFromText="180" w:rightFromText="180" w:vertAnchor="text" w:horzAnchor="page" w:tblpX="1792" w:tblpY="166"/>
        <w:tblOverlap w:val="never"/>
        <w:tblW w:w="13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5"/>
        <w:gridCol w:w="3472"/>
        <w:gridCol w:w="2875"/>
        <w:gridCol w:w="4924"/>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6" w:hRule="atLeast"/>
        </w:trPr>
        <w:tc>
          <w:tcPr>
            <w:tcW w:w="76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序号</w:t>
            </w:r>
          </w:p>
        </w:tc>
        <w:tc>
          <w:tcPr>
            <w:tcW w:w="3472"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spacing w:val="-5"/>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工作内容</w:t>
            </w:r>
          </w:p>
        </w:tc>
        <w:tc>
          <w:tcPr>
            <w:tcW w:w="287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牵头单位</w:t>
            </w:r>
          </w:p>
        </w:tc>
        <w:tc>
          <w:tcPr>
            <w:tcW w:w="492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责任单位</w:t>
            </w:r>
          </w:p>
        </w:tc>
        <w:tc>
          <w:tcPr>
            <w:tcW w:w="152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b/>
                <w:bCs/>
                <w:i w:val="0"/>
                <w:color w:val="000000"/>
                <w:kern w:val="0"/>
                <w:sz w:val="21"/>
                <w:szCs w:val="21"/>
                <w:u w:val="none"/>
                <w:lang w:val="en-US" w:eastAsia="zh-CN" w:bidi="ar"/>
              </w:rPr>
              <w:t>完成期限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2" w:hRule="atLeast"/>
        </w:trPr>
        <w:tc>
          <w:tcPr>
            <w:tcW w:w="76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61</w:t>
            </w:r>
          </w:p>
        </w:tc>
        <w:tc>
          <w:tcPr>
            <w:tcW w:w="3472"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面向中小学生开放美术馆、体育馆、重点实验室等区域，培养中小学生人文、科创素养，提升综合育人能力水平</w:t>
            </w:r>
          </w:p>
        </w:tc>
        <w:tc>
          <w:tcPr>
            <w:tcW w:w="287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w:t>
            </w:r>
          </w:p>
        </w:tc>
        <w:tc>
          <w:tcPr>
            <w:tcW w:w="492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在包各高校</w:t>
            </w:r>
          </w:p>
        </w:tc>
        <w:tc>
          <w:tcPr>
            <w:tcW w:w="152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12" w:hRule="atLeast"/>
        </w:trPr>
        <w:tc>
          <w:tcPr>
            <w:tcW w:w="76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62</w:t>
            </w:r>
          </w:p>
        </w:tc>
        <w:tc>
          <w:tcPr>
            <w:tcW w:w="3472" w:type="dxa"/>
            <w:tcBorders>
              <w:top w:val="single" w:color="000000" w:sz="4" w:space="0"/>
              <w:left w:val="single" w:color="000000" w:sz="4" w:space="0"/>
              <w:bottom w:val="single" w:color="000000" w:sz="4" w:space="0"/>
              <w:right w:val="single" w:color="000000" w:sz="4" w:space="0"/>
            </w:tcBorders>
            <w:tcMar>
              <w:top w:w="15" w:type="dxa"/>
              <w:left w:w="57" w:type="dxa"/>
              <w:bottom w:w="15" w:type="dxa"/>
              <w:right w:w="57" w:type="dxa"/>
            </w:tcMar>
            <w:vAlign w:val="center"/>
          </w:tcPr>
          <w:p>
            <w:pPr>
              <w:keepNext w:val="0"/>
              <w:keepLines w:val="0"/>
              <w:widowControl/>
              <w:suppressLineNumbers w:val="0"/>
              <w:jc w:val="both"/>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邀请包头市非物质文化遗产传承人、文化名人走进高校，讲好高校与包头市共生共荣、共享共建的发展历史故事，让广大师生深入了解包头的文化内涵和城市底蕴，有力凝聚广大师生爱包头的共识，激发作贡献的强大正能量</w:t>
            </w:r>
          </w:p>
        </w:tc>
        <w:tc>
          <w:tcPr>
            <w:tcW w:w="2875"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市文旅广电局</w:t>
            </w:r>
          </w:p>
        </w:tc>
        <w:tc>
          <w:tcPr>
            <w:tcW w:w="492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市教育局，在包各高校</w:t>
            </w:r>
          </w:p>
        </w:tc>
        <w:tc>
          <w:tcPr>
            <w:tcW w:w="1524" w:type="dxa"/>
            <w:tcBorders>
              <w:top w:val="single" w:color="000000" w:sz="4" w:space="0"/>
              <w:left w:val="single" w:color="000000" w:sz="4" w:space="0"/>
              <w:bottom w:val="single" w:color="000000" w:sz="4" w:space="0"/>
              <w:right w:val="single" w:color="000000" w:sz="4" w:space="0"/>
            </w:tcBorders>
            <w:tcMar>
              <w:left w:w="57" w:type="dxa"/>
              <w:right w:w="57" w:type="dxa"/>
            </w:tcMar>
            <w:vAlign w:val="center"/>
          </w:tcPr>
          <w:p>
            <w:pPr>
              <w:keepNext w:val="0"/>
              <w:keepLines w:val="0"/>
              <w:widowControl/>
              <w:suppressLineNumbers w:val="0"/>
              <w:jc w:val="center"/>
              <w:textAlignment w:val="center"/>
              <w:rPr>
                <w:rFonts w:hint="eastAsia" w:ascii="Times New Roman" w:hAnsi="Times New Roman" w:eastAsia="宋体" w:cs="宋体"/>
                <w:i w:val="0"/>
                <w:color w:val="000000"/>
                <w:kern w:val="0"/>
                <w:sz w:val="21"/>
                <w:szCs w:val="21"/>
                <w:u w:val="none"/>
                <w:lang w:val="en-US" w:eastAsia="zh-CN" w:bidi="ar"/>
              </w:rPr>
            </w:pPr>
            <w:r>
              <w:rPr>
                <w:rFonts w:hint="eastAsia" w:ascii="Times New Roman" w:hAnsi="Times New Roman" w:eastAsia="宋体" w:cs="宋体"/>
                <w:i w:val="0"/>
                <w:color w:val="000000"/>
                <w:kern w:val="0"/>
                <w:sz w:val="21"/>
                <w:szCs w:val="21"/>
                <w:u w:val="none"/>
                <w:lang w:val="en-US" w:eastAsia="zh-CN" w:bidi="ar"/>
              </w:rPr>
              <w:t>长期推动</w:t>
            </w:r>
          </w:p>
        </w:tc>
      </w:tr>
    </w:tbl>
    <w:p>
      <w:pPr>
        <w:pStyle w:val="2"/>
        <w:rPr>
          <w:rFonts w:ascii="Times New Roman" w:hAnsi="Times New Roma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iberation Sans">
    <w:altName w:val="仿宋_GB2312"/>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22555"/>
    <w:rsid w:val="68B225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before="0" w:after="140" w:line="276" w:lineRule="auto"/>
    </w:pPr>
  </w:style>
  <w:style w:type="paragraph" w:styleId="3">
    <w:name w:val="footer"/>
    <w:basedOn w:val="1"/>
    <w:next w:val="4"/>
    <w:uiPriority w:val="0"/>
    <w:pPr>
      <w:tabs>
        <w:tab w:val="center" w:pos="4153"/>
        <w:tab w:val="right" w:pos="8306"/>
      </w:tabs>
      <w:snapToGrid w:val="0"/>
      <w:jc w:val="left"/>
    </w:pPr>
    <w:rPr>
      <w:sz w:val="18"/>
      <w:szCs w:val="18"/>
    </w:rPr>
  </w:style>
  <w:style w:type="paragraph" w:styleId="4">
    <w:name w:val="index 5"/>
    <w:basedOn w:val="1"/>
    <w:next w:val="1"/>
    <w:uiPriority w:val="0"/>
    <w:pPr>
      <w:ind w:left="1680"/>
    </w:pPr>
  </w:style>
  <w:style w:type="character" w:customStyle="1" w:styleId="7">
    <w:name w:val="font41"/>
    <w:basedOn w:val="5"/>
    <w:qFormat/>
    <w:uiPriority w:val="0"/>
    <w:rPr>
      <w:rFonts w:ascii="黑体" w:hAnsi="宋体" w:eastAsia="黑体" w:cs="黑体"/>
      <w:color w:val="000000"/>
      <w:sz w:val="28"/>
      <w:szCs w:val="28"/>
      <w:u w:val="none"/>
    </w:rPr>
  </w:style>
  <w:style w:type="character" w:customStyle="1" w:styleId="8">
    <w:name w:val="font61"/>
    <w:basedOn w:val="5"/>
    <w:qFormat/>
    <w:uiPriority w:val="0"/>
    <w:rPr>
      <w:rFonts w:hint="eastAsia" w:ascii="仿宋_GB2312" w:eastAsia="仿宋_GB2312" w:cs="仿宋_GB2312"/>
      <w:color w:val="000000"/>
      <w:sz w:val="28"/>
      <w:szCs w:val="28"/>
      <w:u w:val="none"/>
    </w:rPr>
  </w:style>
  <w:style w:type="character" w:customStyle="1" w:styleId="9">
    <w:name w:val="font1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2023-05-31T02:14:00Z</dcterms:created>
  <dc:creator>Administrator</dc:creator>
  <cp:lastModifiedBy>Administrator</cp:lastModifiedBy>
  <dcterms:modified xsi:type="dcterms:W3CDTF">2023-05-31T02:16:28Z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